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8B42" w14:textId="77777777" w:rsidR="004F0A62" w:rsidRPr="009B76A3" w:rsidRDefault="00E05774" w:rsidP="009B76A3">
      <w:pPr>
        <w:jc w:val="left"/>
        <w:rPr>
          <w:sz w:val="22"/>
        </w:rPr>
      </w:pPr>
      <w:r w:rsidRPr="009B76A3">
        <w:rPr>
          <w:rFonts w:hint="eastAsia"/>
          <w:sz w:val="22"/>
        </w:rPr>
        <w:t>宮崎市郡医師会病院を受診された患者さまへ</w:t>
      </w:r>
    </w:p>
    <w:p w14:paraId="2BF84489" w14:textId="77777777" w:rsidR="00E05774" w:rsidRPr="009B76A3" w:rsidRDefault="00E05774" w:rsidP="009B76A3">
      <w:pPr>
        <w:jc w:val="left"/>
        <w:rPr>
          <w:sz w:val="22"/>
        </w:rPr>
      </w:pPr>
    </w:p>
    <w:p w14:paraId="6E6A026D" w14:textId="77777777" w:rsidR="00E05774" w:rsidRPr="009B76A3" w:rsidRDefault="00E05774" w:rsidP="009B76A3">
      <w:pPr>
        <w:jc w:val="left"/>
        <w:rPr>
          <w:sz w:val="22"/>
        </w:rPr>
      </w:pPr>
      <w:r w:rsidRPr="009B76A3">
        <w:rPr>
          <w:rFonts w:hint="eastAsia"/>
          <w:sz w:val="22"/>
        </w:rPr>
        <w:t>当院では下記の臨床研究を実施しております。</w:t>
      </w:r>
    </w:p>
    <w:p w14:paraId="73EBF473" w14:textId="77777777" w:rsidR="00E05774" w:rsidRPr="009B76A3" w:rsidRDefault="00E05774" w:rsidP="009B76A3">
      <w:pPr>
        <w:jc w:val="left"/>
        <w:rPr>
          <w:sz w:val="22"/>
        </w:rPr>
      </w:pPr>
      <w:r w:rsidRPr="009B76A3">
        <w:rPr>
          <w:rFonts w:hint="eastAsia"/>
          <w:sz w:val="22"/>
        </w:rPr>
        <w:t>本研究の対象者に該当する可能性のある方で診療情報等を研究目的に利用されることを希望されない場合は、下記の問い合わせ先にお問い合わせ下さい。いつでも本研究への参加を拒否することが可能です。</w:t>
      </w:r>
    </w:p>
    <w:p w14:paraId="3E0DCC80" w14:textId="77777777" w:rsidR="00E05774" w:rsidRPr="009B76A3" w:rsidRDefault="00E05774" w:rsidP="009B76A3">
      <w:pPr>
        <w:jc w:val="left"/>
        <w:rPr>
          <w:sz w:val="22"/>
        </w:rPr>
      </w:pPr>
    </w:p>
    <w:tbl>
      <w:tblPr>
        <w:tblStyle w:val="a3"/>
        <w:tblW w:w="0" w:type="auto"/>
        <w:tblLook w:val="04A0" w:firstRow="1" w:lastRow="0" w:firstColumn="1" w:lastColumn="0" w:noHBand="0" w:noVBand="1"/>
      </w:tblPr>
      <w:tblGrid>
        <w:gridCol w:w="2068"/>
        <w:gridCol w:w="8388"/>
      </w:tblGrid>
      <w:tr w:rsidR="00E05774" w:rsidRPr="009B76A3" w14:paraId="2B97BBE2" w14:textId="77777777" w:rsidTr="003C181B">
        <w:tc>
          <w:tcPr>
            <w:tcW w:w="2068" w:type="dxa"/>
            <w:vAlign w:val="center"/>
          </w:tcPr>
          <w:p w14:paraId="50DA0C3F" w14:textId="2FCFDA5D" w:rsidR="00E05774" w:rsidRPr="009B76A3" w:rsidRDefault="00E05774" w:rsidP="009B76A3">
            <w:pPr>
              <w:jc w:val="left"/>
              <w:rPr>
                <w:sz w:val="22"/>
              </w:rPr>
            </w:pPr>
            <w:r w:rsidRPr="009B76A3">
              <w:rPr>
                <w:rFonts w:hint="eastAsia"/>
                <w:sz w:val="22"/>
              </w:rPr>
              <w:t>研究課題名</w:t>
            </w:r>
          </w:p>
        </w:tc>
        <w:tc>
          <w:tcPr>
            <w:tcW w:w="8388" w:type="dxa"/>
            <w:vAlign w:val="center"/>
          </w:tcPr>
          <w:p w14:paraId="5814A8AC" w14:textId="40CD4358" w:rsidR="00E05774" w:rsidRPr="00510161" w:rsidRDefault="00510161" w:rsidP="00D55957">
            <w:pPr>
              <w:jc w:val="left"/>
              <w:rPr>
                <w:rFonts w:asciiTheme="minorEastAsia" w:hAnsiTheme="minorEastAsia"/>
                <w:bCs/>
                <w:sz w:val="24"/>
                <w:szCs w:val="24"/>
              </w:rPr>
            </w:pPr>
            <w:r w:rsidRPr="00FF4B58">
              <w:rPr>
                <w:rFonts w:asciiTheme="minorEastAsia" w:hAnsiTheme="minorEastAsia" w:hint="eastAsia"/>
                <w:bCs/>
                <w:sz w:val="24"/>
                <w:szCs w:val="24"/>
              </w:rPr>
              <w:t>僧帽弁形成術後収縮期前方運動発症のリスク</w:t>
            </w:r>
            <w:r>
              <w:rPr>
                <w:rFonts w:asciiTheme="minorEastAsia" w:hAnsiTheme="minorEastAsia" w:hint="eastAsia"/>
                <w:bCs/>
                <w:sz w:val="24"/>
                <w:szCs w:val="24"/>
              </w:rPr>
              <w:t>因子</w:t>
            </w:r>
            <w:r w:rsidRPr="00FF4B58">
              <w:rPr>
                <w:rFonts w:asciiTheme="minorEastAsia" w:hAnsiTheme="minorEastAsia" w:hint="eastAsia"/>
                <w:bCs/>
                <w:sz w:val="24"/>
                <w:szCs w:val="24"/>
              </w:rPr>
              <w:t>に関する</w:t>
            </w:r>
            <w:r>
              <w:rPr>
                <w:rFonts w:asciiTheme="minorEastAsia" w:hAnsiTheme="minorEastAsia" w:hint="eastAsia"/>
                <w:bCs/>
                <w:sz w:val="24"/>
                <w:szCs w:val="24"/>
              </w:rPr>
              <w:t>研究</w:t>
            </w:r>
          </w:p>
        </w:tc>
      </w:tr>
      <w:tr w:rsidR="00E05774" w:rsidRPr="009B76A3" w14:paraId="4098C835" w14:textId="77777777" w:rsidTr="003C181B">
        <w:tc>
          <w:tcPr>
            <w:tcW w:w="2068" w:type="dxa"/>
            <w:vAlign w:val="center"/>
          </w:tcPr>
          <w:p w14:paraId="770F8811" w14:textId="77777777" w:rsidR="00E05774" w:rsidRPr="009B76A3" w:rsidRDefault="00E05774" w:rsidP="009B76A3">
            <w:pPr>
              <w:jc w:val="left"/>
              <w:rPr>
                <w:sz w:val="22"/>
              </w:rPr>
            </w:pPr>
            <w:r w:rsidRPr="009B76A3">
              <w:rPr>
                <w:rFonts w:hint="eastAsia"/>
                <w:sz w:val="22"/>
              </w:rPr>
              <w:t>当院の研究責任者</w:t>
            </w:r>
          </w:p>
          <w:p w14:paraId="29E3F282" w14:textId="77777777" w:rsidR="00E05774" w:rsidRPr="009B76A3" w:rsidRDefault="00E05774" w:rsidP="009B76A3">
            <w:pPr>
              <w:jc w:val="left"/>
              <w:rPr>
                <w:sz w:val="22"/>
              </w:rPr>
            </w:pPr>
            <w:r w:rsidRPr="009B76A3">
              <w:rPr>
                <w:rFonts w:hint="eastAsia"/>
                <w:sz w:val="22"/>
              </w:rPr>
              <w:t>（所属）</w:t>
            </w:r>
          </w:p>
        </w:tc>
        <w:tc>
          <w:tcPr>
            <w:tcW w:w="8388" w:type="dxa"/>
            <w:vAlign w:val="center"/>
          </w:tcPr>
          <w:p w14:paraId="28DB224B" w14:textId="77777777" w:rsidR="00E05774" w:rsidRPr="009B76A3" w:rsidRDefault="002E21A6" w:rsidP="009B76A3">
            <w:pPr>
              <w:jc w:val="left"/>
              <w:rPr>
                <w:rFonts w:asciiTheme="minorEastAsia" w:hAnsiTheme="minorEastAsia"/>
                <w:sz w:val="22"/>
              </w:rPr>
            </w:pPr>
            <w:r w:rsidRPr="009B76A3">
              <w:rPr>
                <w:rFonts w:asciiTheme="minorEastAsia" w:hAnsiTheme="minorEastAsia" w:hint="eastAsia"/>
                <w:sz w:val="22"/>
              </w:rPr>
              <w:t>矢野　光洋</w:t>
            </w:r>
          </w:p>
          <w:p w14:paraId="79BF7281" w14:textId="77777777" w:rsidR="00E05774" w:rsidRPr="009B76A3" w:rsidRDefault="002E21A6" w:rsidP="009B76A3">
            <w:pPr>
              <w:jc w:val="left"/>
              <w:rPr>
                <w:rFonts w:asciiTheme="minorEastAsia" w:hAnsiTheme="minorEastAsia"/>
                <w:sz w:val="22"/>
              </w:rPr>
            </w:pPr>
            <w:r w:rsidRPr="009B76A3">
              <w:rPr>
                <w:rFonts w:asciiTheme="minorEastAsia" w:hAnsiTheme="minorEastAsia" w:hint="eastAsia"/>
                <w:sz w:val="22"/>
              </w:rPr>
              <w:t>心臓血管外科</w:t>
            </w:r>
          </w:p>
        </w:tc>
      </w:tr>
      <w:tr w:rsidR="003C181B" w:rsidRPr="009B76A3" w14:paraId="007B15CD" w14:textId="77777777" w:rsidTr="003C181B">
        <w:tc>
          <w:tcPr>
            <w:tcW w:w="2068" w:type="dxa"/>
            <w:vAlign w:val="center"/>
          </w:tcPr>
          <w:p w14:paraId="40457125" w14:textId="77777777" w:rsidR="003C181B" w:rsidRPr="009B76A3" w:rsidRDefault="003C181B" w:rsidP="009B76A3">
            <w:pPr>
              <w:jc w:val="left"/>
              <w:rPr>
                <w:sz w:val="22"/>
              </w:rPr>
            </w:pPr>
            <w:r w:rsidRPr="009B76A3">
              <w:rPr>
                <w:rFonts w:hint="eastAsia"/>
                <w:sz w:val="22"/>
              </w:rPr>
              <w:t>本研究の目的</w:t>
            </w:r>
          </w:p>
        </w:tc>
        <w:tc>
          <w:tcPr>
            <w:tcW w:w="8388" w:type="dxa"/>
            <w:vAlign w:val="center"/>
          </w:tcPr>
          <w:p w14:paraId="58C5E10C" w14:textId="77777777" w:rsidR="00E10C78" w:rsidRDefault="00510161" w:rsidP="00510161">
            <w:pPr>
              <w:ind w:leftChars="67" w:left="141" w:firstLineChars="135" w:firstLine="283"/>
            </w:pPr>
            <w:r>
              <w:rPr>
                <w:rFonts w:hint="eastAsia"/>
              </w:rPr>
              <w:t>僧帽弁閉鎖不全症に対する手術は従来の弁置換術にかわり弁形成術が主流となり成績も安定したものとなっています。しかし症例によっては術後に僧帽弁の弁尖が左室流出路方向に吸い込まれて変形し、これにともなって逆流が生じたり流出路に圧較差を生じるなどの弊害を生じる場合があり、収縮期前方運動（</w:t>
            </w:r>
            <w:r>
              <w:t>SAM</w:t>
            </w:r>
            <w:r>
              <w:rPr>
                <w:rFonts w:hint="eastAsia"/>
              </w:rPr>
              <w:t>と略す）とよばれています。</w:t>
            </w:r>
            <w:r>
              <w:t>SAM</w:t>
            </w:r>
            <w:r>
              <w:rPr>
                <w:rFonts w:hint="eastAsia"/>
              </w:rPr>
              <w:t>の発症は、術前心エコー図検査によって予測可能ですが、これまでリスク因子として左室内腔狭小、左室駆出率（</w:t>
            </w:r>
            <w:r>
              <w:t>LVEF</w:t>
            </w:r>
            <w:r>
              <w:rPr>
                <w:rFonts w:hint="eastAsia"/>
              </w:rPr>
              <w:t>）良好、弁の接合部と流出路心筋間距離（</w:t>
            </w:r>
            <w:r>
              <w:t>C-sept</w:t>
            </w:r>
            <w:r>
              <w:rPr>
                <w:rFonts w:hint="eastAsia"/>
              </w:rPr>
              <w:t>）</w:t>
            </w:r>
            <w:r>
              <w:rPr>
                <w:rFonts w:hint="eastAsia"/>
              </w:rPr>
              <w:t>2</w:t>
            </w:r>
            <w:r>
              <w:t>0 mm</w:t>
            </w:r>
            <w:r>
              <w:rPr>
                <w:rFonts w:hint="eastAsia"/>
              </w:rPr>
              <w:t>以下などが</w:t>
            </w:r>
            <w:r w:rsidR="0000005C">
              <w:rPr>
                <w:rFonts w:hint="eastAsia"/>
              </w:rPr>
              <w:t>指摘されてきました</w:t>
            </w:r>
            <w:r>
              <w:rPr>
                <w:rFonts w:hint="eastAsia"/>
              </w:rPr>
              <w:t>。しかし</w:t>
            </w:r>
            <w:r w:rsidR="0000005C">
              <w:rPr>
                <w:rFonts w:hint="eastAsia"/>
              </w:rPr>
              <w:t>このように定量的評価によらずとも、</w:t>
            </w:r>
            <w:r>
              <w:rPr>
                <w:rFonts w:hint="eastAsia"/>
              </w:rPr>
              <w:t>定性的に</w:t>
            </w:r>
            <w:r w:rsidR="0000005C">
              <w:rPr>
                <w:rFonts w:hint="eastAsia"/>
              </w:rPr>
              <w:t>評価可能である様にみえます。</w:t>
            </w:r>
          </w:p>
          <w:p w14:paraId="3615E190" w14:textId="29EB5B8B" w:rsidR="0000005C" w:rsidRPr="00510161" w:rsidRDefault="0000005C" w:rsidP="00510161">
            <w:pPr>
              <w:ind w:leftChars="67" w:left="141" w:firstLineChars="135" w:firstLine="283"/>
              <w:rPr>
                <w:rFonts w:asciiTheme="minorEastAsia" w:hAnsiTheme="minorEastAsia"/>
                <w:sz w:val="22"/>
              </w:rPr>
            </w:pPr>
            <w:r>
              <w:rPr>
                <w:rFonts w:hint="eastAsia"/>
              </w:rPr>
              <w:t>そこで、僧帽弁形成術後</w:t>
            </w:r>
            <w:r>
              <w:t>SAM</w:t>
            </w:r>
            <w:r>
              <w:rPr>
                <w:rFonts w:hint="eastAsia"/>
              </w:rPr>
              <w:t>の発症を予測する因子として、以下の</w:t>
            </w:r>
            <w:r>
              <w:rPr>
                <w:rFonts w:hint="eastAsia"/>
              </w:rPr>
              <w:t>2</w:t>
            </w:r>
            <w:r>
              <w:rPr>
                <w:rFonts w:hint="eastAsia"/>
              </w:rPr>
              <w:t>点を提唱します。一つは、拡張期に僧帽弁前尖が流出路中隔心筋に接地する所見（</w:t>
            </w:r>
            <w:r>
              <w:t xml:space="preserve">diastolic touching to the septal wall: </w:t>
            </w:r>
            <w:r>
              <w:rPr>
                <w:rFonts w:hint="eastAsia"/>
              </w:rPr>
              <w:t>D</w:t>
            </w:r>
            <w:r>
              <w:t>TS</w:t>
            </w:r>
            <w:r>
              <w:rPr>
                <w:rFonts w:hint="eastAsia"/>
              </w:rPr>
              <w:t>）、もう一つは収縮期に僧帽弁前尖が流出路方向に吸い込まれて屈曲する所見</w:t>
            </w:r>
            <w:r>
              <w:rPr>
                <w:rFonts w:hint="eastAsia"/>
              </w:rPr>
              <w:t>(</w:t>
            </w:r>
            <w:r>
              <w:t>systolic bending of anterior leaflet: SBL)</w:t>
            </w:r>
            <w:r>
              <w:rPr>
                <w:rFonts w:hint="eastAsia"/>
              </w:rPr>
              <w:t>の</w:t>
            </w:r>
            <w:r>
              <w:rPr>
                <w:rFonts w:hint="eastAsia"/>
              </w:rPr>
              <w:t>2</w:t>
            </w:r>
            <w:r>
              <w:rPr>
                <w:rFonts w:hint="eastAsia"/>
              </w:rPr>
              <w:t>点です。これらの所見の有無と、従来の</w:t>
            </w:r>
            <w:r>
              <w:t>SAM</w:t>
            </w:r>
            <w:r>
              <w:rPr>
                <w:rFonts w:hint="eastAsia"/>
              </w:rPr>
              <w:t>リスク因子について、当院ですでに手術を終了している患者様の過去の心エコー画像を用いて評価したいと考えています。</w:t>
            </w:r>
          </w:p>
        </w:tc>
      </w:tr>
      <w:tr w:rsidR="003C181B" w:rsidRPr="009B76A3" w14:paraId="5448B28F" w14:textId="77777777" w:rsidTr="003C181B">
        <w:tc>
          <w:tcPr>
            <w:tcW w:w="2068" w:type="dxa"/>
            <w:vAlign w:val="center"/>
          </w:tcPr>
          <w:p w14:paraId="0D000DB3" w14:textId="77777777" w:rsidR="003C181B" w:rsidRPr="009B76A3" w:rsidRDefault="003C181B" w:rsidP="009B76A3">
            <w:pPr>
              <w:jc w:val="left"/>
              <w:rPr>
                <w:sz w:val="22"/>
              </w:rPr>
            </w:pPr>
            <w:r w:rsidRPr="009B76A3">
              <w:rPr>
                <w:rFonts w:hint="eastAsia"/>
                <w:sz w:val="22"/>
              </w:rPr>
              <w:t>調査データ</w:t>
            </w:r>
          </w:p>
          <w:p w14:paraId="561A56A8" w14:textId="77777777" w:rsidR="003C181B" w:rsidRPr="009B76A3" w:rsidRDefault="003C181B" w:rsidP="009B76A3">
            <w:pPr>
              <w:jc w:val="left"/>
              <w:rPr>
                <w:sz w:val="22"/>
              </w:rPr>
            </w:pPr>
            <w:r w:rsidRPr="009B76A3">
              <w:rPr>
                <w:rFonts w:hint="eastAsia"/>
                <w:sz w:val="22"/>
              </w:rPr>
              <w:t>該当期間</w:t>
            </w:r>
          </w:p>
        </w:tc>
        <w:tc>
          <w:tcPr>
            <w:tcW w:w="8388" w:type="dxa"/>
            <w:vAlign w:val="center"/>
          </w:tcPr>
          <w:p w14:paraId="4B7B4D13" w14:textId="1DE5FB35" w:rsidR="003C181B" w:rsidRPr="00E15058" w:rsidRDefault="00E15058" w:rsidP="00E15058">
            <w:pPr>
              <w:ind w:leftChars="67" w:left="141" w:firstLine="285"/>
              <w:rPr>
                <w:rFonts w:ascii="ＭＳ 明朝" w:hAnsi="ＭＳ 明朝"/>
                <w:sz w:val="22"/>
              </w:rPr>
            </w:pPr>
            <w:r w:rsidRPr="009A0E42">
              <w:rPr>
                <w:rFonts w:ascii="ＭＳ 明朝" w:hAnsi="ＭＳ 明朝" w:hint="eastAsia"/>
                <w:sz w:val="22"/>
              </w:rPr>
              <w:t>2</w:t>
            </w:r>
            <w:r w:rsidRPr="009A0E42">
              <w:rPr>
                <w:rFonts w:ascii="ＭＳ 明朝" w:hAnsi="ＭＳ 明朝"/>
                <w:sz w:val="22"/>
              </w:rPr>
              <w:t>01</w:t>
            </w:r>
            <w:r>
              <w:rPr>
                <w:rFonts w:ascii="ＭＳ 明朝" w:hAnsi="ＭＳ 明朝"/>
                <w:sz w:val="22"/>
              </w:rPr>
              <w:t>4</w:t>
            </w:r>
            <w:r w:rsidRPr="009A0E42">
              <w:rPr>
                <w:rFonts w:ascii="ＭＳ 明朝" w:hAnsi="ＭＳ 明朝" w:hint="eastAsia"/>
                <w:sz w:val="22"/>
              </w:rPr>
              <w:t>年</w:t>
            </w:r>
            <w:r>
              <w:rPr>
                <w:rFonts w:ascii="ＭＳ 明朝" w:hAnsi="ＭＳ 明朝"/>
                <w:sz w:val="22"/>
              </w:rPr>
              <w:t>11</w:t>
            </w:r>
            <w:r w:rsidRPr="009A0E42">
              <w:rPr>
                <w:rFonts w:ascii="ＭＳ 明朝" w:hAnsi="ＭＳ 明朝" w:hint="eastAsia"/>
                <w:sz w:val="22"/>
              </w:rPr>
              <w:t>月から2</w:t>
            </w:r>
            <w:r w:rsidRPr="009A0E42">
              <w:rPr>
                <w:rFonts w:ascii="ＭＳ 明朝" w:hAnsi="ＭＳ 明朝"/>
                <w:sz w:val="22"/>
              </w:rPr>
              <w:t>02</w:t>
            </w:r>
            <w:r w:rsidR="0000005C">
              <w:rPr>
                <w:rFonts w:ascii="ＭＳ 明朝" w:hAnsi="ＭＳ 明朝"/>
                <w:sz w:val="22"/>
              </w:rPr>
              <w:t>2</w:t>
            </w:r>
            <w:r w:rsidRPr="009A0E42">
              <w:rPr>
                <w:rFonts w:ascii="ＭＳ 明朝" w:hAnsi="ＭＳ 明朝" w:hint="eastAsia"/>
                <w:sz w:val="22"/>
              </w:rPr>
              <w:t>年</w:t>
            </w:r>
            <w:r w:rsidR="0000005C">
              <w:rPr>
                <w:rFonts w:ascii="ＭＳ 明朝" w:hAnsi="ＭＳ 明朝"/>
                <w:sz w:val="22"/>
              </w:rPr>
              <w:t>4</w:t>
            </w:r>
            <w:r w:rsidRPr="009A0E42">
              <w:rPr>
                <w:rFonts w:ascii="ＭＳ 明朝" w:hAnsi="ＭＳ 明朝" w:hint="eastAsia"/>
                <w:sz w:val="22"/>
              </w:rPr>
              <w:t>月の間に、</w:t>
            </w:r>
            <w:r w:rsidRPr="009B76A3">
              <w:rPr>
                <w:rFonts w:asciiTheme="minorEastAsia" w:hAnsiTheme="minorEastAsia" w:hint="eastAsia"/>
                <w:sz w:val="22"/>
              </w:rPr>
              <w:t>宮崎市郡医師会病院心臓血管外科</w:t>
            </w:r>
            <w:r w:rsidRPr="009B76A3">
              <w:rPr>
                <w:rFonts w:asciiTheme="minorEastAsia" w:hAnsiTheme="minorEastAsia"/>
                <w:sz w:val="22"/>
              </w:rPr>
              <w:t>で</w:t>
            </w:r>
            <w:r w:rsidRPr="009A0E42">
              <w:rPr>
                <w:rFonts w:ascii="ＭＳ 明朝" w:hAnsi="ＭＳ 明朝" w:hint="eastAsia"/>
                <w:sz w:val="22"/>
              </w:rPr>
              <w:t>手術</w:t>
            </w:r>
            <w:r>
              <w:rPr>
                <w:rFonts w:ascii="ＭＳ 明朝" w:hAnsi="ＭＳ 明朝" w:hint="eastAsia"/>
                <w:sz w:val="22"/>
              </w:rPr>
              <w:t>を施行した僧帽弁閉鎖不全症に対する僧帽弁形成術</w:t>
            </w:r>
            <w:r w:rsidR="0000005C">
              <w:rPr>
                <w:rFonts w:ascii="ＭＳ 明朝" w:hAnsi="ＭＳ 明朝" w:hint="eastAsia"/>
                <w:sz w:val="22"/>
              </w:rPr>
              <w:t>中、再手術症例と術後死亡症例を除外した</w:t>
            </w:r>
            <w:r w:rsidR="0000005C">
              <w:rPr>
                <w:rFonts w:ascii="ＭＳ 明朝" w:hAnsi="ＭＳ 明朝"/>
                <w:sz w:val="22"/>
              </w:rPr>
              <w:t>138</w:t>
            </w:r>
            <w:r w:rsidR="0000005C">
              <w:rPr>
                <w:rFonts w:ascii="ＭＳ 明朝" w:hAnsi="ＭＳ 明朝" w:hint="eastAsia"/>
                <w:sz w:val="22"/>
              </w:rPr>
              <w:t>例です。</w:t>
            </w:r>
          </w:p>
        </w:tc>
      </w:tr>
      <w:tr w:rsidR="003C181B" w:rsidRPr="009B76A3" w14:paraId="2C785DFF" w14:textId="77777777" w:rsidTr="003C181B">
        <w:tc>
          <w:tcPr>
            <w:tcW w:w="2068" w:type="dxa"/>
            <w:vAlign w:val="center"/>
          </w:tcPr>
          <w:p w14:paraId="03F6FDEE" w14:textId="77777777" w:rsidR="003C181B" w:rsidRPr="009B76A3" w:rsidRDefault="003C181B" w:rsidP="009B76A3">
            <w:pPr>
              <w:jc w:val="left"/>
              <w:rPr>
                <w:sz w:val="22"/>
              </w:rPr>
            </w:pPr>
            <w:r w:rsidRPr="009B76A3">
              <w:rPr>
                <w:rFonts w:hint="eastAsia"/>
                <w:sz w:val="22"/>
              </w:rPr>
              <w:t>研究の方法</w:t>
            </w:r>
          </w:p>
          <w:p w14:paraId="35784F1B" w14:textId="77777777" w:rsidR="003C181B" w:rsidRPr="009B76A3" w:rsidRDefault="003C181B" w:rsidP="009B76A3">
            <w:pPr>
              <w:jc w:val="left"/>
              <w:rPr>
                <w:sz w:val="22"/>
              </w:rPr>
            </w:pPr>
            <w:r w:rsidRPr="009B76A3">
              <w:rPr>
                <w:rFonts w:hint="eastAsia"/>
                <w:sz w:val="22"/>
              </w:rPr>
              <w:t>（使用する試料等）</w:t>
            </w:r>
          </w:p>
        </w:tc>
        <w:tc>
          <w:tcPr>
            <w:tcW w:w="8388" w:type="dxa"/>
            <w:vAlign w:val="center"/>
          </w:tcPr>
          <w:p w14:paraId="637F88C3" w14:textId="77777777" w:rsidR="003C181B" w:rsidRPr="009B76A3" w:rsidRDefault="003C181B" w:rsidP="009B76A3">
            <w:pPr>
              <w:snapToGrid w:val="0"/>
              <w:spacing w:beforeLines="50" w:before="153"/>
              <w:jc w:val="left"/>
              <w:rPr>
                <w:rFonts w:ascii="ＭＳ 明朝" w:hAnsi="ＭＳ 明朝"/>
                <w:sz w:val="22"/>
              </w:rPr>
            </w:pPr>
            <w:r w:rsidRPr="009B76A3">
              <w:rPr>
                <w:rFonts w:ascii="ＭＳ 明朝" w:hAnsi="ＭＳ 明朝" w:hint="eastAsia"/>
                <w:sz w:val="22"/>
              </w:rPr>
              <w:t xml:space="preserve">【実施責任者】　</w:t>
            </w:r>
          </w:p>
          <w:p w14:paraId="2EAE8565" w14:textId="77777777" w:rsidR="003C181B" w:rsidRPr="009B76A3" w:rsidRDefault="003C181B" w:rsidP="009B76A3">
            <w:pPr>
              <w:pStyle w:val="a4"/>
              <w:wordWrap/>
              <w:snapToGrid w:val="0"/>
              <w:spacing w:line="240" w:lineRule="auto"/>
              <w:ind w:leftChars="-1" w:left="-2"/>
              <w:jc w:val="left"/>
              <w:rPr>
                <w:rFonts w:hAnsi="ＭＳ 明朝"/>
                <w:sz w:val="22"/>
                <w:szCs w:val="22"/>
              </w:rPr>
            </w:pPr>
            <w:r w:rsidRPr="009B76A3">
              <w:rPr>
                <w:rFonts w:hAnsi="ＭＳ 明朝" w:hint="eastAsia"/>
                <w:sz w:val="22"/>
                <w:szCs w:val="22"/>
              </w:rPr>
              <w:t>宮崎市郡医師会病院　（心臓血管外科部長：　矢野　光洋）</w:t>
            </w:r>
          </w:p>
          <w:p w14:paraId="49DB617A" w14:textId="14165BA3" w:rsidR="00C61A08" w:rsidRDefault="00C61A08" w:rsidP="00C61A08">
            <w:pPr>
              <w:pStyle w:val="2"/>
              <w:snapToGrid w:val="0"/>
              <w:spacing w:line="320" w:lineRule="atLeast"/>
              <w:ind w:leftChars="0" w:left="0"/>
              <w:jc w:val="left"/>
              <w:rPr>
                <w:rFonts w:ascii="ＭＳ 明朝" w:hAnsi="ＭＳ 明朝"/>
                <w:sz w:val="22"/>
                <w:szCs w:val="22"/>
              </w:rPr>
            </w:pPr>
            <w:r>
              <w:rPr>
                <w:rFonts w:ascii="ＭＳ 明朝" w:hAnsi="ＭＳ 明朝" w:hint="eastAsia"/>
                <w:sz w:val="22"/>
                <w:szCs w:val="22"/>
              </w:rPr>
              <w:t>【研究方法】</w:t>
            </w:r>
          </w:p>
          <w:p w14:paraId="38C6347D" w14:textId="1613DE03" w:rsidR="00C71047" w:rsidRDefault="00C71047" w:rsidP="00C61A08">
            <w:pPr>
              <w:pStyle w:val="2"/>
              <w:snapToGrid w:val="0"/>
              <w:spacing w:line="320" w:lineRule="atLeast"/>
              <w:ind w:leftChars="0" w:left="0"/>
              <w:jc w:val="left"/>
              <w:rPr>
                <w:rFonts w:ascii="ＭＳ 明朝" w:hAnsi="ＭＳ 明朝"/>
                <w:sz w:val="22"/>
                <w:szCs w:val="22"/>
              </w:rPr>
            </w:pPr>
            <w:r>
              <w:rPr>
                <w:rFonts w:ascii="ＭＳ 明朝" w:hAnsi="ＭＳ 明朝" w:hint="eastAsia"/>
                <w:sz w:val="22"/>
                <w:szCs w:val="22"/>
              </w:rPr>
              <w:t>当院の手術前および手術直後における下記情報について収集します。</w:t>
            </w:r>
          </w:p>
          <w:p w14:paraId="1338E033" w14:textId="33A98490" w:rsidR="00C71047" w:rsidRDefault="00C71047" w:rsidP="00A82870">
            <w:pPr>
              <w:pStyle w:val="2"/>
              <w:numPr>
                <w:ilvl w:val="0"/>
                <w:numId w:val="6"/>
              </w:numPr>
              <w:snapToGrid w:val="0"/>
              <w:spacing w:line="320" w:lineRule="atLeast"/>
              <w:ind w:leftChars="0"/>
              <w:jc w:val="left"/>
              <w:rPr>
                <w:rFonts w:ascii="ＭＳ 明朝" w:hAnsi="ＭＳ 明朝"/>
                <w:sz w:val="22"/>
                <w:szCs w:val="22"/>
              </w:rPr>
            </w:pPr>
            <w:r>
              <w:rPr>
                <w:rFonts w:ascii="ＭＳ 明朝" w:hAnsi="ＭＳ 明朝" w:hint="eastAsia"/>
                <w:sz w:val="22"/>
                <w:szCs w:val="22"/>
              </w:rPr>
              <w:t>患者基本情報：年齢、性別、既往歴、</w:t>
            </w:r>
            <w:r>
              <w:rPr>
                <w:rFonts w:ascii="ＭＳ 明朝" w:hAnsi="ＭＳ 明朝"/>
                <w:sz w:val="22"/>
                <w:szCs w:val="22"/>
              </w:rPr>
              <w:t>NYHA</w:t>
            </w:r>
            <w:r>
              <w:rPr>
                <w:rFonts w:ascii="ＭＳ 明朝" w:hAnsi="ＭＳ 明朝" w:hint="eastAsia"/>
                <w:sz w:val="22"/>
                <w:szCs w:val="22"/>
              </w:rPr>
              <w:t>心機能分類に基づく心不全の状態、採血検査結果</w:t>
            </w:r>
          </w:p>
          <w:p w14:paraId="094F54BE" w14:textId="41B9F358" w:rsidR="00C71047" w:rsidRDefault="00C71047" w:rsidP="00A82870">
            <w:pPr>
              <w:pStyle w:val="2"/>
              <w:numPr>
                <w:ilvl w:val="0"/>
                <w:numId w:val="6"/>
              </w:numPr>
              <w:snapToGrid w:val="0"/>
              <w:spacing w:line="320" w:lineRule="atLeast"/>
              <w:ind w:leftChars="0"/>
              <w:jc w:val="left"/>
              <w:rPr>
                <w:rFonts w:ascii="ＭＳ 明朝" w:hAnsi="ＭＳ 明朝"/>
                <w:sz w:val="22"/>
                <w:szCs w:val="22"/>
              </w:rPr>
            </w:pPr>
            <w:r>
              <w:rPr>
                <w:rFonts w:ascii="ＭＳ 明朝" w:hAnsi="ＭＳ 明朝" w:hint="eastAsia"/>
                <w:sz w:val="22"/>
                <w:szCs w:val="22"/>
              </w:rPr>
              <w:t>経胸壁エコー検査</w:t>
            </w:r>
            <w:r w:rsidR="00A82870">
              <w:rPr>
                <w:rFonts w:ascii="ＭＳ 明朝" w:hAnsi="ＭＳ 明朝" w:hint="eastAsia"/>
                <w:sz w:val="22"/>
                <w:szCs w:val="22"/>
              </w:rPr>
              <w:t>（</w:t>
            </w:r>
            <w:r w:rsidR="00A82870">
              <w:rPr>
                <w:rFonts w:ascii="ＭＳ 明朝" w:hAnsi="ＭＳ 明朝"/>
                <w:sz w:val="22"/>
                <w:szCs w:val="22"/>
              </w:rPr>
              <w:t>MR</w:t>
            </w:r>
            <w:r w:rsidR="00A82870">
              <w:rPr>
                <w:rFonts w:ascii="ＭＳ 明朝" w:hAnsi="ＭＳ 明朝" w:hint="eastAsia"/>
                <w:sz w:val="22"/>
                <w:szCs w:val="22"/>
              </w:rPr>
              <w:t>評価、左室躯出率、左室収縮周期径、僧帽弁接合分−流出路心筋間距離、</w:t>
            </w:r>
            <w:r w:rsidR="00A82870">
              <w:rPr>
                <w:rFonts w:ascii="ＭＳ 明朝" w:hAnsi="ＭＳ 明朝"/>
                <w:sz w:val="22"/>
                <w:szCs w:val="22"/>
              </w:rPr>
              <w:t>DTS, SBL</w:t>
            </w:r>
            <w:r w:rsidR="00A82870">
              <w:rPr>
                <w:rFonts w:ascii="ＭＳ 明朝" w:hAnsi="ＭＳ 明朝" w:hint="eastAsia"/>
                <w:sz w:val="22"/>
                <w:szCs w:val="22"/>
              </w:rPr>
              <w:t>、術直後</w:t>
            </w:r>
            <w:r w:rsidR="00A82870">
              <w:rPr>
                <w:rFonts w:ascii="ＭＳ 明朝" w:hAnsi="ＭＳ 明朝"/>
                <w:sz w:val="22"/>
                <w:szCs w:val="22"/>
              </w:rPr>
              <w:t>SAM</w:t>
            </w:r>
            <w:r w:rsidR="00A82870">
              <w:rPr>
                <w:rFonts w:ascii="ＭＳ 明朝" w:hAnsi="ＭＳ 明朝" w:hint="eastAsia"/>
                <w:sz w:val="22"/>
                <w:szCs w:val="22"/>
              </w:rPr>
              <w:t>の有無）</w:t>
            </w:r>
          </w:p>
          <w:p w14:paraId="15B95E5F" w14:textId="1763D7CD" w:rsidR="00A82870" w:rsidRPr="00A82870" w:rsidRDefault="00A82870" w:rsidP="00A82870">
            <w:pPr>
              <w:pStyle w:val="2"/>
              <w:numPr>
                <w:ilvl w:val="0"/>
                <w:numId w:val="6"/>
              </w:numPr>
              <w:snapToGrid w:val="0"/>
              <w:spacing w:line="320" w:lineRule="atLeast"/>
              <w:ind w:leftChars="0"/>
              <w:jc w:val="left"/>
              <w:rPr>
                <w:rFonts w:ascii="ＭＳ 明朝" w:hAnsi="ＭＳ 明朝"/>
                <w:sz w:val="22"/>
                <w:szCs w:val="22"/>
              </w:rPr>
            </w:pPr>
            <w:r>
              <w:rPr>
                <w:rFonts w:ascii="ＭＳ 明朝" w:hAnsi="ＭＳ 明朝" w:hint="eastAsia"/>
                <w:sz w:val="22"/>
                <w:szCs w:val="22"/>
              </w:rPr>
              <w:t>手術内容：僧帽弁形成術の方法、人工弁輪の種類とサイズ、併施手術の有無とその内容、手術時間、大動脈遮断時間、対外循環時間、術中出血量、輸血量など</w:t>
            </w:r>
          </w:p>
          <w:p w14:paraId="548C7BDB" w14:textId="1AE2E6EA" w:rsidR="003C181B" w:rsidRPr="0000005C" w:rsidRDefault="003C181B" w:rsidP="00A82870">
            <w:pPr>
              <w:jc w:val="left"/>
              <w:rPr>
                <w:rFonts w:hAnsi="ＭＳ 明朝"/>
                <w:sz w:val="22"/>
              </w:rPr>
            </w:pPr>
          </w:p>
        </w:tc>
      </w:tr>
      <w:tr w:rsidR="003C181B" w:rsidRPr="009B76A3" w14:paraId="55AB18F1" w14:textId="77777777" w:rsidTr="003C181B">
        <w:tc>
          <w:tcPr>
            <w:tcW w:w="2068" w:type="dxa"/>
            <w:vAlign w:val="center"/>
          </w:tcPr>
          <w:p w14:paraId="20BAC685" w14:textId="47327202" w:rsidR="003C181B" w:rsidRPr="009B76A3" w:rsidRDefault="003C181B" w:rsidP="009B76A3">
            <w:pPr>
              <w:jc w:val="left"/>
              <w:rPr>
                <w:sz w:val="22"/>
              </w:rPr>
            </w:pPr>
            <w:r w:rsidRPr="009B76A3">
              <w:rPr>
                <w:rFonts w:hint="eastAsia"/>
                <w:sz w:val="22"/>
              </w:rPr>
              <w:t>情報の</w:t>
            </w:r>
          </w:p>
          <w:p w14:paraId="2387B954" w14:textId="1427E9CD" w:rsidR="003C181B" w:rsidRPr="009B76A3" w:rsidRDefault="003C181B" w:rsidP="009B76A3">
            <w:pPr>
              <w:jc w:val="left"/>
              <w:rPr>
                <w:sz w:val="22"/>
              </w:rPr>
            </w:pPr>
            <w:r w:rsidRPr="009B76A3">
              <w:rPr>
                <w:rFonts w:hint="eastAsia"/>
                <w:sz w:val="22"/>
              </w:rPr>
              <w:t>他の研究機関への提供</w:t>
            </w:r>
          </w:p>
        </w:tc>
        <w:tc>
          <w:tcPr>
            <w:tcW w:w="8388" w:type="dxa"/>
            <w:vAlign w:val="center"/>
          </w:tcPr>
          <w:p w14:paraId="28DD87AF" w14:textId="2D03F9F9" w:rsidR="003C181B" w:rsidRPr="009B76A3" w:rsidRDefault="003C181B" w:rsidP="009B76A3">
            <w:pPr>
              <w:jc w:val="left"/>
              <w:rPr>
                <w:rFonts w:asciiTheme="minorEastAsia" w:hAnsiTheme="minorEastAsia"/>
                <w:sz w:val="22"/>
              </w:rPr>
            </w:pPr>
            <w:r w:rsidRPr="009B76A3">
              <w:rPr>
                <w:rFonts w:asciiTheme="minorEastAsia" w:hAnsiTheme="minorEastAsia" w:hint="eastAsia"/>
                <w:sz w:val="22"/>
              </w:rPr>
              <w:t>カルテ</w:t>
            </w:r>
            <w:r w:rsidRPr="009B76A3">
              <w:rPr>
                <w:rFonts w:asciiTheme="minorEastAsia" w:hAnsiTheme="minorEastAsia" w:hint="eastAsia"/>
                <w:bCs/>
                <w:sz w:val="22"/>
              </w:rPr>
              <w:t>情報</w:t>
            </w:r>
            <w:r w:rsidR="0060650B" w:rsidRPr="009B76A3">
              <w:rPr>
                <w:rFonts w:asciiTheme="minorEastAsia" w:hAnsiTheme="minorEastAsia" w:hint="eastAsia"/>
                <w:bCs/>
                <w:sz w:val="22"/>
              </w:rPr>
              <w:t>の他の研究機関への提供は行</w:t>
            </w:r>
            <w:r w:rsidR="00D56002" w:rsidRPr="009B76A3">
              <w:rPr>
                <w:rFonts w:asciiTheme="minorEastAsia" w:hAnsiTheme="minorEastAsia" w:hint="eastAsia"/>
                <w:bCs/>
                <w:sz w:val="22"/>
              </w:rPr>
              <w:t>いません</w:t>
            </w:r>
            <w:r w:rsidR="0060650B" w:rsidRPr="009B76A3">
              <w:rPr>
                <w:rFonts w:asciiTheme="minorEastAsia" w:hAnsiTheme="minorEastAsia" w:hint="eastAsia"/>
                <w:bCs/>
                <w:sz w:val="22"/>
              </w:rPr>
              <w:t>。</w:t>
            </w:r>
          </w:p>
        </w:tc>
      </w:tr>
      <w:tr w:rsidR="001601FD" w:rsidRPr="009B76A3" w14:paraId="47D9082A" w14:textId="77777777" w:rsidTr="003C181B">
        <w:tc>
          <w:tcPr>
            <w:tcW w:w="2068" w:type="dxa"/>
            <w:vAlign w:val="center"/>
          </w:tcPr>
          <w:p w14:paraId="1CDEE980" w14:textId="5DE6D549" w:rsidR="001601FD" w:rsidRPr="009B76A3" w:rsidRDefault="00540C5D" w:rsidP="009B76A3">
            <w:pPr>
              <w:jc w:val="left"/>
              <w:rPr>
                <w:sz w:val="22"/>
              </w:rPr>
            </w:pPr>
            <w:r w:rsidRPr="009B76A3">
              <w:rPr>
                <w:rFonts w:hint="eastAsia"/>
                <w:sz w:val="22"/>
              </w:rPr>
              <w:t>研究計画書および研究に関する資料</w:t>
            </w:r>
          </w:p>
        </w:tc>
        <w:tc>
          <w:tcPr>
            <w:tcW w:w="8388" w:type="dxa"/>
            <w:vAlign w:val="center"/>
          </w:tcPr>
          <w:p w14:paraId="1AF05151" w14:textId="24286D27" w:rsidR="0041293A" w:rsidRPr="009B76A3" w:rsidRDefault="008F43ED" w:rsidP="00A82870">
            <w:pPr>
              <w:pStyle w:val="a5"/>
              <w:numPr>
                <w:ilvl w:val="0"/>
                <w:numId w:val="7"/>
              </w:numPr>
              <w:spacing w:line="240" w:lineRule="auto"/>
              <w:ind w:leftChars="0"/>
              <w:jc w:val="left"/>
              <w:rPr>
                <w:rFonts w:hAnsi="ＭＳ 明朝"/>
                <w:sz w:val="22"/>
              </w:rPr>
            </w:pPr>
            <w:r w:rsidRPr="009B76A3">
              <w:rPr>
                <w:rFonts w:hAnsi="ＭＳ 明朝" w:hint="eastAsia"/>
                <w:sz w:val="22"/>
              </w:rPr>
              <w:t>研究計画書及び研究の方法に関する資料</w:t>
            </w:r>
            <w:r w:rsidR="0041293A" w:rsidRPr="009B76A3">
              <w:rPr>
                <w:rFonts w:hAnsi="ＭＳ 明朝" w:hint="eastAsia"/>
                <w:sz w:val="22"/>
              </w:rPr>
              <w:t>は請求に応じて</w:t>
            </w:r>
            <w:r w:rsidRPr="009B76A3">
              <w:rPr>
                <w:rFonts w:hAnsi="ＭＳ 明朝" w:hint="eastAsia"/>
                <w:sz w:val="22"/>
              </w:rPr>
              <w:t>入手又は閲覧</w:t>
            </w:r>
            <w:r w:rsidR="0041293A" w:rsidRPr="009B76A3">
              <w:rPr>
                <w:rFonts w:hAnsi="ＭＳ 明朝" w:hint="eastAsia"/>
                <w:sz w:val="22"/>
              </w:rPr>
              <w:t>可能</w:t>
            </w:r>
            <w:r w:rsidR="00D56002" w:rsidRPr="009B76A3">
              <w:rPr>
                <w:rFonts w:hAnsi="ＭＳ 明朝" w:hint="eastAsia"/>
                <w:sz w:val="22"/>
              </w:rPr>
              <w:t>です</w:t>
            </w:r>
            <w:r w:rsidR="0041293A" w:rsidRPr="009B76A3">
              <w:rPr>
                <w:rFonts w:hAnsi="ＭＳ 明朝" w:hint="eastAsia"/>
                <w:sz w:val="22"/>
              </w:rPr>
              <w:t>。ただし、</w:t>
            </w:r>
            <w:r w:rsidRPr="009B76A3">
              <w:rPr>
                <w:rFonts w:hAnsi="ＭＳ 明朝" w:hint="eastAsia"/>
                <w:sz w:val="22"/>
              </w:rPr>
              <w:t>他の研究対象者の個人情報及び知的財産の保護等に支障がない範囲内に</w:t>
            </w:r>
            <w:r w:rsidR="0041293A" w:rsidRPr="009B76A3">
              <w:rPr>
                <w:rFonts w:hAnsi="ＭＳ 明朝" w:hint="eastAsia"/>
                <w:sz w:val="22"/>
              </w:rPr>
              <w:t>限られます。</w:t>
            </w:r>
          </w:p>
          <w:p w14:paraId="2EB0988C" w14:textId="6AF03D24" w:rsidR="001601FD" w:rsidRPr="009B76A3" w:rsidRDefault="00273204" w:rsidP="00A82870">
            <w:pPr>
              <w:pStyle w:val="a5"/>
              <w:numPr>
                <w:ilvl w:val="0"/>
                <w:numId w:val="7"/>
              </w:numPr>
              <w:spacing w:line="240" w:lineRule="auto"/>
              <w:ind w:leftChars="0"/>
              <w:jc w:val="left"/>
              <w:rPr>
                <w:rFonts w:hAnsi="ＭＳ 明朝"/>
                <w:sz w:val="22"/>
              </w:rPr>
            </w:pPr>
            <w:r w:rsidRPr="009B76A3">
              <w:rPr>
                <w:rFonts w:hAnsi="ＭＳ 明朝" w:hint="eastAsia"/>
                <w:sz w:val="22"/>
              </w:rPr>
              <w:t>入手、閲覧を希望される方は研究責任者までご連絡ください。</w:t>
            </w:r>
          </w:p>
        </w:tc>
      </w:tr>
      <w:tr w:rsidR="003C181B" w:rsidRPr="009B76A3" w14:paraId="4AE2C4DE" w14:textId="77777777" w:rsidTr="003C181B">
        <w:tc>
          <w:tcPr>
            <w:tcW w:w="2068" w:type="dxa"/>
            <w:vAlign w:val="center"/>
          </w:tcPr>
          <w:p w14:paraId="1FE8C39F" w14:textId="77777777" w:rsidR="003C181B" w:rsidRPr="009B76A3" w:rsidRDefault="003C181B" w:rsidP="009B76A3">
            <w:pPr>
              <w:jc w:val="left"/>
              <w:rPr>
                <w:sz w:val="22"/>
              </w:rPr>
            </w:pPr>
            <w:r w:rsidRPr="009B76A3">
              <w:rPr>
                <w:rFonts w:hint="eastAsia"/>
                <w:sz w:val="22"/>
              </w:rPr>
              <w:t>個人情報の取り扱い</w:t>
            </w:r>
          </w:p>
        </w:tc>
        <w:tc>
          <w:tcPr>
            <w:tcW w:w="8388" w:type="dxa"/>
            <w:vAlign w:val="center"/>
          </w:tcPr>
          <w:p w14:paraId="3FA57E15" w14:textId="77777777" w:rsidR="003C181B" w:rsidRPr="009B76A3" w:rsidRDefault="003C181B" w:rsidP="009B76A3">
            <w:pPr>
              <w:ind w:firstLineChars="50" w:firstLine="110"/>
              <w:jc w:val="left"/>
              <w:rPr>
                <w:rFonts w:asciiTheme="minorEastAsia" w:hAnsiTheme="minorEastAsia"/>
                <w:sz w:val="22"/>
              </w:rPr>
            </w:pPr>
            <w:r w:rsidRPr="009B76A3">
              <w:rPr>
                <w:rFonts w:asciiTheme="minorEastAsia" w:hAnsiTheme="minorEastAsia" w:hint="eastAsia"/>
                <w:sz w:val="22"/>
              </w:rPr>
              <w:t>研究にあたっては、対象となる方の個人情報を容易に同定できないように、数字や記号などに置き換え、「匿名化された試料・情報（どの研究対象者の試料・情報</w:t>
            </w:r>
            <w:r w:rsidRPr="009B76A3">
              <w:rPr>
                <w:rFonts w:asciiTheme="minorEastAsia" w:hAnsiTheme="minorEastAsia" w:hint="eastAsia"/>
                <w:sz w:val="22"/>
              </w:rPr>
              <w:lastRenderedPageBreak/>
              <w:t>であるかが直ちに判別できないよう、加工又は管理されたものに限る）」として使用いたします。</w:t>
            </w:r>
          </w:p>
        </w:tc>
      </w:tr>
      <w:tr w:rsidR="0092155B" w:rsidRPr="009B76A3" w14:paraId="6C0C1707" w14:textId="77777777" w:rsidTr="003C181B">
        <w:tc>
          <w:tcPr>
            <w:tcW w:w="2068" w:type="dxa"/>
            <w:vAlign w:val="center"/>
          </w:tcPr>
          <w:p w14:paraId="6EBBA5DE" w14:textId="79ECD8AF" w:rsidR="0092155B" w:rsidRPr="009B76A3" w:rsidRDefault="008312F6" w:rsidP="009B76A3">
            <w:pPr>
              <w:pStyle w:val="a5"/>
              <w:spacing w:line="240" w:lineRule="auto"/>
              <w:ind w:leftChars="0" w:left="0"/>
              <w:jc w:val="left"/>
              <w:rPr>
                <w:sz w:val="22"/>
              </w:rPr>
            </w:pPr>
            <w:r w:rsidRPr="009B76A3">
              <w:rPr>
                <w:rFonts w:hint="eastAsia"/>
                <w:sz w:val="22"/>
              </w:rPr>
              <w:lastRenderedPageBreak/>
              <w:t>資料、情報利用の拒否について</w:t>
            </w:r>
          </w:p>
        </w:tc>
        <w:tc>
          <w:tcPr>
            <w:tcW w:w="8388" w:type="dxa"/>
            <w:vAlign w:val="center"/>
          </w:tcPr>
          <w:p w14:paraId="2FD72751" w14:textId="5E46DC34" w:rsidR="0092155B" w:rsidRPr="009B76A3" w:rsidRDefault="00E03B3B" w:rsidP="009B76A3">
            <w:pPr>
              <w:ind w:firstLineChars="50" w:firstLine="110"/>
              <w:jc w:val="left"/>
              <w:rPr>
                <w:rFonts w:asciiTheme="minorEastAsia" w:hAnsiTheme="minorEastAsia"/>
                <w:sz w:val="22"/>
              </w:rPr>
            </w:pPr>
            <w:r w:rsidRPr="009B76A3">
              <w:rPr>
                <w:rFonts w:hint="eastAsia"/>
                <w:sz w:val="22"/>
              </w:rPr>
              <w:t>診療情報等を研究目的に利用されることを希望されない場合は、下記の問い合わせ先にお問い合わせ下さい。いつでも本研究への参加を拒否することが可能です</w:t>
            </w:r>
            <w:r w:rsidR="00611D0C" w:rsidRPr="009B76A3">
              <w:rPr>
                <w:rFonts w:hint="eastAsia"/>
                <w:sz w:val="22"/>
              </w:rPr>
              <w:t>。</w:t>
            </w:r>
          </w:p>
        </w:tc>
      </w:tr>
      <w:tr w:rsidR="003C181B" w:rsidRPr="009B76A3" w14:paraId="76E6F295" w14:textId="77777777" w:rsidTr="003C181B">
        <w:tc>
          <w:tcPr>
            <w:tcW w:w="2068" w:type="dxa"/>
            <w:vAlign w:val="center"/>
          </w:tcPr>
          <w:p w14:paraId="78A75F4C" w14:textId="77777777" w:rsidR="003C181B" w:rsidRPr="009B76A3" w:rsidRDefault="003C181B" w:rsidP="009B76A3">
            <w:pPr>
              <w:jc w:val="left"/>
              <w:rPr>
                <w:sz w:val="22"/>
              </w:rPr>
            </w:pPr>
            <w:r w:rsidRPr="009B76A3">
              <w:rPr>
                <w:rFonts w:hint="eastAsia"/>
                <w:sz w:val="22"/>
              </w:rPr>
              <w:t>本研究の資金源</w:t>
            </w:r>
          </w:p>
          <w:p w14:paraId="47FFE0F8" w14:textId="77777777" w:rsidR="003C181B" w:rsidRPr="009B76A3" w:rsidRDefault="003C181B" w:rsidP="009B76A3">
            <w:pPr>
              <w:jc w:val="left"/>
              <w:rPr>
                <w:sz w:val="22"/>
              </w:rPr>
            </w:pPr>
            <w:r w:rsidRPr="009B76A3">
              <w:rPr>
                <w:rFonts w:hint="eastAsia"/>
                <w:sz w:val="22"/>
              </w:rPr>
              <w:t>（利益相反）</w:t>
            </w:r>
          </w:p>
        </w:tc>
        <w:tc>
          <w:tcPr>
            <w:tcW w:w="8388" w:type="dxa"/>
            <w:vAlign w:val="center"/>
          </w:tcPr>
          <w:p w14:paraId="3E665566" w14:textId="77777777" w:rsidR="003C181B" w:rsidRPr="009B76A3" w:rsidRDefault="003C181B" w:rsidP="009B76A3">
            <w:pPr>
              <w:ind w:firstLineChars="50" w:firstLine="110"/>
              <w:jc w:val="left"/>
              <w:rPr>
                <w:rFonts w:asciiTheme="minorEastAsia" w:hAnsiTheme="minorEastAsia"/>
                <w:sz w:val="22"/>
              </w:rPr>
            </w:pPr>
            <w:r w:rsidRPr="009B76A3">
              <w:rPr>
                <w:rFonts w:asciiTheme="minorEastAsia" w:hAnsiTheme="minorEastAsia" w:hint="eastAsia"/>
                <w:sz w:val="22"/>
              </w:rPr>
              <w:t>この研究に関する経費は、実施責任者が所属する診療科の研究費で賄われます。なお、本研究の実施責任者は本研究に関わる企業および団体等からの経済的な利益の提供は受けていないため、利益相反はありません。</w:t>
            </w:r>
          </w:p>
        </w:tc>
      </w:tr>
      <w:tr w:rsidR="003C181B" w:rsidRPr="009B76A3" w14:paraId="11D863DD" w14:textId="77777777" w:rsidTr="003C181B">
        <w:tc>
          <w:tcPr>
            <w:tcW w:w="2068" w:type="dxa"/>
            <w:vAlign w:val="center"/>
          </w:tcPr>
          <w:p w14:paraId="14F537BE" w14:textId="77777777" w:rsidR="003C181B" w:rsidRPr="009B76A3" w:rsidRDefault="003C181B" w:rsidP="009B76A3">
            <w:pPr>
              <w:jc w:val="left"/>
              <w:rPr>
                <w:sz w:val="22"/>
              </w:rPr>
            </w:pPr>
            <w:r w:rsidRPr="009B76A3">
              <w:rPr>
                <w:rFonts w:hint="eastAsia"/>
                <w:sz w:val="22"/>
              </w:rPr>
              <w:t>お問い合わせ先</w:t>
            </w:r>
          </w:p>
        </w:tc>
        <w:tc>
          <w:tcPr>
            <w:tcW w:w="8388" w:type="dxa"/>
            <w:vAlign w:val="center"/>
          </w:tcPr>
          <w:p w14:paraId="1E682002" w14:textId="77777777" w:rsidR="003C181B" w:rsidRPr="009B76A3" w:rsidRDefault="003C181B" w:rsidP="009B76A3">
            <w:pPr>
              <w:jc w:val="left"/>
              <w:rPr>
                <w:rFonts w:asciiTheme="minorEastAsia" w:hAnsiTheme="minorEastAsia"/>
                <w:sz w:val="22"/>
              </w:rPr>
            </w:pPr>
            <w:r w:rsidRPr="009B76A3">
              <w:rPr>
                <w:rFonts w:asciiTheme="minorEastAsia" w:hAnsiTheme="minorEastAsia" w:hint="eastAsia"/>
                <w:sz w:val="22"/>
              </w:rPr>
              <w:t>宮崎市郡医師会病院心臓血管外科</w:t>
            </w:r>
          </w:p>
          <w:p w14:paraId="1BA0B81B" w14:textId="39C28B63" w:rsidR="003C181B" w:rsidRPr="009B76A3" w:rsidRDefault="00FA406F" w:rsidP="009B76A3">
            <w:pPr>
              <w:jc w:val="left"/>
              <w:rPr>
                <w:rFonts w:asciiTheme="minorEastAsia" w:hAnsiTheme="minorEastAsia"/>
                <w:sz w:val="22"/>
              </w:rPr>
            </w:pPr>
            <w:r>
              <w:rPr>
                <w:rFonts w:asciiTheme="minorEastAsia" w:hAnsiTheme="minorEastAsia" w:hint="eastAsia"/>
                <w:sz w:val="22"/>
              </w:rPr>
              <w:t>部長</w:t>
            </w:r>
            <w:bookmarkStart w:id="0" w:name="_GoBack"/>
            <w:bookmarkEnd w:id="0"/>
            <w:r w:rsidR="003C181B" w:rsidRPr="009B76A3">
              <w:rPr>
                <w:rFonts w:asciiTheme="minorEastAsia" w:hAnsiTheme="minorEastAsia" w:hint="eastAsia"/>
                <w:sz w:val="22"/>
              </w:rPr>
              <w:t xml:space="preserve">　矢野光洋</w:t>
            </w:r>
          </w:p>
          <w:p w14:paraId="7FC3B34E" w14:textId="77777777" w:rsidR="003C181B" w:rsidRPr="009B76A3" w:rsidRDefault="003C181B" w:rsidP="009B76A3">
            <w:pPr>
              <w:jc w:val="left"/>
              <w:rPr>
                <w:rFonts w:asciiTheme="minorEastAsia" w:hAnsiTheme="minorEastAsia"/>
                <w:sz w:val="22"/>
              </w:rPr>
            </w:pPr>
            <w:r w:rsidRPr="009B76A3">
              <w:rPr>
                <w:rFonts w:asciiTheme="minorEastAsia" w:hAnsiTheme="minorEastAsia"/>
                <w:sz w:val="22"/>
              </w:rPr>
              <w:t>電話：</w:t>
            </w:r>
            <w:r w:rsidRPr="009B76A3">
              <w:rPr>
                <w:rFonts w:asciiTheme="minorEastAsia" w:hAnsiTheme="minorEastAsia" w:hint="eastAsia"/>
                <w:sz w:val="22"/>
              </w:rPr>
              <w:t>0985-</w:t>
            </w:r>
            <w:r w:rsidRPr="009B76A3">
              <w:rPr>
                <w:rFonts w:asciiTheme="minorEastAsia" w:hAnsiTheme="minorEastAsia"/>
                <w:sz w:val="22"/>
              </w:rPr>
              <w:t>77</w:t>
            </w:r>
            <w:r w:rsidRPr="009B76A3">
              <w:rPr>
                <w:rFonts w:asciiTheme="minorEastAsia" w:hAnsiTheme="minorEastAsia" w:hint="eastAsia"/>
                <w:sz w:val="22"/>
              </w:rPr>
              <w:t>-91</w:t>
            </w:r>
            <w:r w:rsidRPr="009B76A3">
              <w:rPr>
                <w:rFonts w:asciiTheme="minorEastAsia" w:hAnsiTheme="minorEastAsia"/>
                <w:sz w:val="22"/>
              </w:rPr>
              <w:t>01</w:t>
            </w:r>
          </w:p>
          <w:p w14:paraId="11C2ACD4" w14:textId="106A7460" w:rsidR="003C181B" w:rsidRPr="009B76A3" w:rsidRDefault="003C181B" w:rsidP="009B76A3">
            <w:pPr>
              <w:jc w:val="left"/>
              <w:rPr>
                <w:rFonts w:asciiTheme="minorEastAsia" w:hAnsiTheme="minorEastAsia"/>
                <w:sz w:val="22"/>
              </w:rPr>
            </w:pPr>
            <w:r w:rsidRPr="009B76A3">
              <w:rPr>
                <w:rFonts w:asciiTheme="minorEastAsia" w:hAnsiTheme="minorEastAsia" w:hint="eastAsia"/>
                <w:sz w:val="22"/>
              </w:rPr>
              <w:t>FAX</w:t>
            </w:r>
            <w:r w:rsidRPr="009B76A3">
              <w:rPr>
                <w:rFonts w:asciiTheme="minorEastAsia" w:hAnsiTheme="minorEastAsia"/>
                <w:sz w:val="22"/>
              </w:rPr>
              <w:t>：</w:t>
            </w:r>
            <w:r w:rsidRPr="009B76A3">
              <w:rPr>
                <w:rFonts w:asciiTheme="minorEastAsia" w:hAnsiTheme="minorEastAsia" w:hint="eastAsia"/>
                <w:sz w:val="22"/>
              </w:rPr>
              <w:t>0985-</w:t>
            </w:r>
            <w:r w:rsidR="007207C6">
              <w:rPr>
                <w:rFonts w:asciiTheme="minorEastAsia" w:hAnsiTheme="minorEastAsia" w:hint="eastAsia"/>
                <w:sz w:val="22"/>
              </w:rPr>
              <w:t>77</w:t>
            </w:r>
            <w:r w:rsidRPr="009B76A3">
              <w:rPr>
                <w:rFonts w:asciiTheme="minorEastAsia" w:hAnsiTheme="minorEastAsia" w:hint="eastAsia"/>
                <w:sz w:val="22"/>
              </w:rPr>
              <w:t>-</w:t>
            </w:r>
            <w:r w:rsidR="007207C6">
              <w:rPr>
                <w:rFonts w:asciiTheme="minorEastAsia" w:hAnsiTheme="minorEastAsia" w:hint="eastAsia"/>
                <w:sz w:val="22"/>
              </w:rPr>
              <w:t>91</w:t>
            </w:r>
            <w:r w:rsidR="00EA0B7E">
              <w:rPr>
                <w:rFonts w:asciiTheme="minorEastAsia" w:hAnsiTheme="minorEastAsia" w:hint="eastAsia"/>
                <w:sz w:val="22"/>
              </w:rPr>
              <w:t>21</w:t>
            </w:r>
          </w:p>
          <w:p w14:paraId="746CED4C" w14:textId="77777777" w:rsidR="003C181B" w:rsidRPr="009B76A3" w:rsidRDefault="003C181B" w:rsidP="009B76A3">
            <w:pPr>
              <w:jc w:val="left"/>
              <w:rPr>
                <w:rFonts w:asciiTheme="minorEastAsia" w:hAnsiTheme="minorEastAsia"/>
                <w:sz w:val="22"/>
              </w:rPr>
            </w:pPr>
          </w:p>
        </w:tc>
      </w:tr>
      <w:tr w:rsidR="003C181B" w:rsidRPr="009B76A3" w14:paraId="35AA5F0B" w14:textId="77777777" w:rsidTr="003C181B">
        <w:tc>
          <w:tcPr>
            <w:tcW w:w="2068" w:type="dxa"/>
            <w:vAlign w:val="center"/>
          </w:tcPr>
          <w:p w14:paraId="357BD473" w14:textId="77777777" w:rsidR="003C181B" w:rsidRPr="009B76A3" w:rsidRDefault="003C181B" w:rsidP="009B76A3">
            <w:pPr>
              <w:jc w:val="left"/>
              <w:rPr>
                <w:sz w:val="22"/>
              </w:rPr>
            </w:pPr>
            <w:r w:rsidRPr="009B76A3">
              <w:rPr>
                <w:rFonts w:hint="eastAsia"/>
                <w:sz w:val="22"/>
              </w:rPr>
              <w:t>備考</w:t>
            </w:r>
          </w:p>
        </w:tc>
        <w:tc>
          <w:tcPr>
            <w:tcW w:w="8388" w:type="dxa"/>
            <w:vAlign w:val="center"/>
          </w:tcPr>
          <w:p w14:paraId="6A921E56" w14:textId="77777777" w:rsidR="003C181B" w:rsidRPr="009B76A3" w:rsidRDefault="003C181B" w:rsidP="009B76A3">
            <w:pPr>
              <w:jc w:val="left"/>
              <w:rPr>
                <w:sz w:val="22"/>
              </w:rPr>
            </w:pPr>
          </w:p>
          <w:p w14:paraId="02A2ABED" w14:textId="77777777" w:rsidR="003C181B" w:rsidRPr="009B76A3" w:rsidRDefault="003C181B" w:rsidP="009B76A3">
            <w:pPr>
              <w:jc w:val="left"/>
              <w:rPr>
                <w:rFonts w:asciiTheme="minorEastAsia" w:hAnsiTheme="minorEastAsia"/>
                <w:sz w:val="22"/>
              </w:rPr>
            </w:pPr>
          </w:p>
        </w:tc>
      </w:tr>
    </w:tbl>
    <w:p w14:paraId="640CE876" w14:textId="77777777" w:rsidR="00E05774" w:rsidRPr="009B76A3" w:rsidRDefault="00E05774" w:rsidP="009B76A3">
      <w:pPr>
        <w:jc w:val="left"/>
        <w:rPr>
          <w:sz w:val="22"/>
        </w:rPr>
      </w:pPr>
    </w:p>
    <w:sectPr w:rsidR="00E05774" w:rsidRPr="009B76A3" w:rsidSect="00106F44">
      <w:pgSz w:w="11906" w:h="16838"/>
      <w:pgMar w:top="720" w:right="720" w:bottom="794" w:left="720" w:header="851" w:footer="992" w:gutter="0"/>
      <w:cols w:space="425"/>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E10BD4"/>
    <w:multiLevelType w:val="hybridMultilevel"/>
    <w:tmpl w:val="F4BC6E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961A0"/>
    <w:multiLevelType w:val="hybridMultilevel"/>
    <w:tmpl w:val="0A409C1C"/>
    <w:lvl w:ilvl="0" w:tplc="04090011">
      <w:start w:val="1"/>
      <w:numFmt w:val="decimalEnclosedCircle"/>
      <w:lvlText w:val="%1"/>
      <w:lvlJc w:val="left"/>
      <w:pPr>
        <w:ind w:left="494" w:hanging="420"/>
      </w:p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3" w15:restartNumberingAfterBreak="0">
    <w:nsid w:val="244112FD"/>
    <w:multiLevelType w:val="hybridMultilevel"/>
    <w:tmpl w:val="B978C762"/>
    <w:lvl w:ilvl="0" w:tplc="F3769496">
      <w:start w:val="1"/>
      <w:numFmt w:val="decimalEnclosedCircle"/>
      <w:lvlText w:val="%1"/>
      <w:lvlJc w:val="left"/>
      <w:pPr>
        <w:ind w:left="1494" w:hanging="360"/>
      </w:pPr>
      <w:rPr>
        <w:rFonts w:cs="ＭＳ 明朝" w:hint="default"/>
      </w:rPr>
    </w:lvl>
    <w:lvl w:ilvl="1" w:tplc="04090017" w:tentative="1">
      <w:start w:val="1"/>
      <w:numFmt w:val="aiueoFullWidth"/>
      <w:lvlText w:val="(%2)"/>
      <w:lvlJc w:val="left"/>
      <w:pPr>
        <w:ind w:left="2094" w:hanging="480"/>
      </w:pPr>
    </w:lvl>
    <w:lvl w:ilvl="2" w:tplc="04090011" w:tentative="1">
      <w:start w:val="1"/>
      <w:numFmt w:val="decimalEnclosedCircle"/>
      <w:lvlText w:val="%3"/>
      <w:lvlJc w:val="left"/>
      <w:pPr>
        <w:ind w:left="2574" w:hanging="480"/>
      </w:pPr>
    </w:lvl>
    <w:lvl w:ilvl="3" w:tplc="0409000F" w:tentative="1">
      <w:start w:val="1"/>
      <w:numFmt w:val="decimal"/>
      <w:lvlText w:val="%4."/>
      <w:lvlJc w:val="left"/>
      <w:pPr>
        <w:ind w:left="3054" w:hanging="480"/>
      </w:pPr>
    </w:lvl>
    <w:lvl w:ilvl="4" w:tplc="04090017" w:tentative="1">
      <w:start w:val="1"/>
      <w:numFmt w:val="aiueoFullWidth"/>
      <w:lvlText w:val="(%5)"/>
      <w:lvlJc w:val="left"/>
      <w:pPr>
        <w:ind w:left="3534" w:hanging="480"/>
      </w:pPr>
    </w:lvl>
    <w:lvl w:ilvl="5" w:tplc="04090011" w:tentative="1">
      <w:start w:val="1"/>
      <w:numFmt w:val="decimalEnclosedCircle"/>
      <w:lvlText w:val="%6"/>
      <w:lvlJc w:val="left"/>
      <w:pPr>
        <w:ind w:left="4014" w:hanging="480"/>
      </w:pPr>
    </w:lvl>
    <w:lvl w:ilvl="6" w:tplc="0409000F" w:tentative="1">
      <w:start w:val="1"/>
      <w:numFmt w:val="decimal"/>
      <w:lvlText w:val="%7."/>
      <w:lvlJc w:val="left"/>
      <w:pPr>
        <w:ind w:left="4494" w:hanging="480"/>
      </w:pPr>
    </w:lvl>
    <w:lvl w:ilvl="7" w:tplc="04090017" w:tentative="1">
      <w:start w:val="1"/>
      <w:numFmt w:val="aiueoFullWidth"/>
      <w:lvlText w:val="(%8)"/>
      <w:lvlJc w:val="left"/>
      <w:pPr>
        <w:ind w:left="4974" w:hanging="480"/>
      </w:pPr>
    </w:lvl>
    <w:lvl w:ilvl="8" w:tplc="04090011" w:tentative="1">
      <w:start w:val="1"/>
      <w:numFmt w:val="decimalEnclosedCircle"/>
      <w:lvlText w:val="%9"/>
      <w:lvlJc w:val="left"/>
      <w:pPr>
        <w:ind w:left="5454" w:hanging="480"/>
      </w:pPr>
    </w:lvl>
  </w:abstractNum>
  <w:abstractNum w:abstractNumId="4" w15:restartNumberingAfterBreak="0">
    <w:nsid w:val="3A2023BE"/>
    <w:multiLevelType w:val="hybridMultilevel"/>
    <w:tmpl w:val="69B001AA"/>
    <w:lvl w:ilvl="0" w:tplc="04090011">
      <w:start w:val="1"/>
      <w:numFmt w:val="decimalEnclosedCircle"/>
      <w:lvlText w:val="%1"/>
      <w:lvlJc w:val="left"/>
      <w:pPr>
        <w:ind w:left="42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3B4E63F2"/>
    <w:multiLevelType w:val="hybridMultilevel"/>
    <w:tmpl w:val="DEB43DF2"/>
    <w:lvl w:ilvl="0" w:tplc="7CC280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0925B5A"/>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74"/>
    <w:rsid w:val="0000005C"/>
    <w:rsid w:val="0000198F"/>
    <w:rsid w:val="00012D9D"/>
    <w:rsid w:val="00016173"/>
    <w:rsid w:val="00027F30"/>
    <w:rsid w:val="000B7E24"/>
    <w:rsid w:val="000F45DA"/>
    <w:rsid w:val="00106F44"/>
    <w:rsid w:val="00111645"/>
    <w:rsid w:val="00133ABC"/>
    <w:rsid w:val="00135441"/>
    <w:rsid w:val="00142A05"/>
    <w:rsid w:val="00144B84"/>
    <w:rsid w:val="001601FD"/>
    <w:rsid w:val="00167C48"/>
    <w:rsid w:val="00192280"/>
    <w:rsid w:val="001B291B"/>
    <w:rsid w:val="001B3C7B"/>
    <w:rsid w:val="00217BB2"/>
    <w:rsid w:val="00241B87"/>
    <w:rsid w:val="002516F6"/>
    <w:rsid w:val="00273204"/>
    <w:rsid w:val="002E21A6"/>
    <w:rsid w:val="00320ADF"/>
    <w:rsid w:val="00346BF3"/>
    <w:rsid w:val="0035303C"/>
    <w:rsid w:val="00353DB3"/>
    <w:rsid w:val="003976BD"/>
    <w:rsid w:val="003B7508"/>
    <w:rsid w:val="003C181B"/>
    <w:rsid w:val="003D1783"/>
    <w:rsid w:val="003D4A9B"/>
    <w:rsid w:val="003F64A0"/>
    <w:rsid w:val="003F7D8F"/>
    <w:rsid w:val="0041293A"/>
    <w:rsid w:val="00422B0D"/>
    <w:rsid w:val="004602B6"/>
    <w:rsid w:val="004E2412"/>
    <w:rsid w:val="004E52AE"/>
    <w:rsid w:val="004F1411"/>
    <w:rsid w:val="004F3165"/>
    <w:rsid w:val="00503475"/>
    <w:rsid w:val="00503773"/>
    <w:rsid w:val="0050676F"/>
    <w:rsid w:val="00510161"/>
    <w:rsid w:val="00514219"/>
    <w:rsid w:val="00515823"/>
    <w:rsid w:val="00540C5D"/>
    <w:rsid w:val="005B5D80"/>
    <w:rsid w:val="005C618A"/>
    <w:rsid w:val="005D6B67"/>
    <w:rsid w:val="005F3847"/>
    <w:rsid w:val="0060022A"/>
    <w:rsid w:val="00605AAB"/>
    <w:rsid w:val="0060650B"/>
    <w:rsid w:val="00611D0C"/>
    <w:rsid w:val="00622AD4"/>
    <w:rsid w:val="0062681D"/>
    <w:rsid w:val="006323F6"/>
    <w:rsid w:val="006B43C0"/>
    <w:rsid w:val="006D4902"/>
    <w:rsid w:val="007137A4"/>
    <w:rsid w:val="007207C6"/>
    <w:rsid w:val="00730B2C"/>
    <w:rsid w:val="0073440B"/>
    <w:rsid w:val="007606C4"/>
    <w:rsid w:val="007829FE"/>
    <w:rsid w:val="007830D9"/>
    <w:rsid w:val="007B2B33"/>
    <w:rsid w:val="007C33A7"/>
    <w:rsid w:val="0081630B"/>
    <w:rsid w:val="008312F6"/>
    <w:rsid w:val="0086104C"/>
    <w:rsid w:val="008729EE"/>
    <w:rsid w:val="00897B1B"/>
    <w:rsid w:val="008C11D5"/>
    <w:rsid w:val="008C1376"/>
    <w:rsid w:val="008C79F7"/>
    <w:rsid w:val="008D6922"/>
    <w:rsid w:val="008F43ED"/>
    <w:rsid w:val="00912CC4"/>
    <w:rsid w:val="00916AB3"/>
    <w:rsid w:val="0092155B"/>
    <w:rsid w:val="00940A4D"/>
    <w:rsid w:val="009A37D2"/>
    <w:rsid w:val="009A5E13"/>
    <w:rsid w:val="009B62F2"/>
    <w:rsid w:val="009B76A3"/>
    <w:rsid w:val="009D0388"/>
    <w:rsid w:val="009D3A83"/>
    <w:rsid w:val="00A235E8"/>
    <w:rsid w:val="00A568BA"/>
    <w:rsid w:val="00A822AC"/>
    <w:rsid w:val="00A82870"/>
    <w:rsid w:val="00AA3BC9"/>
    <w:rsid w:val="00AA6988"/>
    <w:rsid w:val="00AB537C"/>
    <w:rsid w:val="00AE2FF7"/>
    <w:rsid w:val="00B54267"/>
    <w:rsid w:val="00B76A53"/>
    <w:rsid w:val="00B814BB"/>
    <w:rsid w:val="00B87330"/>
    <w:rsid w:val="00BB3933"/>
    <w:rsid w:val="00BC3ECA"/>
    <w:rsid w:val="00BF632A"/>
    <w:rsid w:val="00C45E8A"/>
    <w:rsid w:val="00C46412"/>
    <w:rsid w:val="00C61A08"/>
    <w:rsid w:val="00C6731C"/>
    <w:rsid w:val="00C71047"/>
    <w:rsid w:val="00CC44A4"/>
    <w:rsid w:val="00D2650E"/>
    <w:rsid w:val="00D526C8"/>
    <w:rsid w:val="00D553E0"/>
    <w:rsid w:val="00D55957"/>
    <w:rsid w:val="00D56002"/>
    <w:rsid w:val="00D604FA"/>
    <w:rsid w:val="00D901BC"/>
    <w:rsid w:val="00DB28ED"/>
    <w:rsid w:val="00DB2E15"/>
    <w:rsid w:val="00DB429E"/>
    <w:rsid w:val="00DF62C3"/>
    <w:rsid w:val="00E03B3B"/>
    <w:rsid w:val="00E045E8"/>
    <w:rsid w:val="00E05774"/>
    <w:rsid w:val="00E10C78"/>
    <w:rsid w:val="00E15058"/>
    <w:rsid w:val="00E24E9E"/>
    <w:rsid w:val="00E30F70"/>
    <w:rsid w:val="00E62F78"/>
    <w:rsid w:val="00E73449"/>
    <w:rsid w:val="00E92F8B"/>
    <w:rsid w:val="00E96E2F"/>
    <w:rsid w:val="00EA0B7E"/>
    <w:rsid w:val="00EB7E54"/>
    <w:rsid w:val="00EC5E5D"/>
    <w:rsid w:val="00ED6BB4"/>
    <w:rsid w:val="00EE685F"/>
    <w:rsid w:val="00EF6E40"/>
    <w:rsid w:val="00F01E0E"/>
    <w:rsid w:val="00F07900"/>
    <w:rsid w:val="00F23BCE"/>
    <w:rsid w:val="00F513DF"/>
    <w:rsid w:val="00F8160A"/>
    <w:rsid w:val="00F93089"/>
    <w:rsid w:val="00FA1324"/>
    <w:rsid w:val="00FA406F"/>
    <w:rsid w:val="00FA7DD3"/>
    <w:rsid w:val="00FD3AAE"/>
    <w:rsid w:val="00FD5556"/>
    <w:rsid w:val="00FE7C93"/>
    <w:rsid w:val="00FF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BF70F"/>
  <w15:docId w15:val="{2CAF58BD-4A0D-426E-A208-494D8CAA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F3165"/>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4F3165"/>
    <w:rPr>
      <w:rFonts w:ascii="Century" w:eastAsia="ＭＳ 明朝" w:hAnsi="Century" w:cs="Times New Roman"/>
      <w:szCs w:val="20"/>
    </w:rPr>
  </w:style>
  <w:style w:type="paragraph" w:customStyle="1" w:styleId="a4">
    <w:name w:val="一太郎８/９"/>
    <w:rsid w:val="00217BB2"/>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5">
    <w:name w:val="List Paragraph"/>
    <w:basedOn w:val="a"/>
    <w:uiPriority w:val="34"/>
    <w:qFormat/>
    <w:rsid w:val="008F43ED"/>
    <w:pPr>
      <w:spacing w:line="40" w:lineRule="atLeast"/>
      <w:ind w:leftChars="400" w:left="840"/>
    </w:pPr>
    <w:rPr>
      <w:rFonts w:ascii="ＭＳ 明朝"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電子カルテユーザー</cp:lastModifiedBy>
  <cp:revision>7</cp:revision>
  <dcterms:created xsi:type="dcterms:W3CDTF">2022-04-18T06:13:00Z</dcterms:created>
  <dcterms:modified xsi:type="dcterms:W3CDTF">2022-04-18T07:33:00Z</dcterms:modified>
</cp:coreProperties>
</file>